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059"/>
      </w:tblGrid>
      <w:tr w:rsidR="00CB0D22" w:rsidRPr="00556429" w14:paraId="1FDE3AF3" w14:textId="77777777" w:rsidTr="004A5BDB">
        <w:tc>
          <w:tcPr>
            <w:tcW w:w="9016" w:type="dxa"/>
            <w:gridSpan w:val="2"/>
          </w:tcPr>
          <w:p w14:paraId="46170D9D" w14:textId="77777777" w:rsidR="00CB0D22" w:rsidRDefault="00CB0D22" w:rsidP="004A5BDB">
            <w:pPr>
              <w:jc w:val="center"/>
              <w:rPr>
                <w:b/>
                <w:bCs/>
                <w:sz w:val="28"/>
                <w:szCs w:val="28"/>
              </w:rPr>
            </w:pPr>
            <w:r w:rsidRPr="00556429">
              <w:rPr>
                <w:b/>
                <w:bCs/>
                <w:sz w:val="28"/>
                <w:szCs w:val="28"/>
              </w:rPr>
              <w:t>ND Resources</w:t>
            </w:r>
          </w:p>
          <w:p w14:paraId="7D722ABB" w14:textId="77777777" w:rsidR="00CB0D22" w:rsidRPr="00556429" w:rsidRDefault="00CB0D22" w:rsidP="004A5BDB">
            <w:pPr>
              <w:jc w:val="center"/>
              <w:rPr>
                <w:b/>
                <w:bCs/>
                <w:sz w:val="28"/>
                <w:szCs w:val="28"/>
              </w:rPr>
            </w:pPr>
          </w:p>
        </w:tc>
      </w:tr>
      <w:tr w:rsidR="00CB0D22" w14:paraId="1C3CC2F8" w14:textId="77777777" w:rsidTr="004A5BDB">
        <w:tc>
          <w:tcPr>
            <w:tcW w:w="4957" w:type="dxa"/>
          </w:tcPr>
          <w:p w14:paraId="2B884F39" w14:textId="77777777" w:rsidR="00CB0D22" w:rsidRDefault="00CB0D22" w:rsidP="004A5BDB">
            <w:pPr>
              <w:rPr>
                <w:b/>
                <w:bCs/>
              </w:rPr>
            </w:pPr>
          </w:p>
          <w:p w14:paraId="27541A78" w14:textId="77777777" w:rsidR="00CB0D22" w:rsidRPr="00556429" w:rsidRDefault="00CB0D22" w:rsidP="004A5BDB">
            <w:pPr>
              <w:jc w:val="center"/>
              <w:rPr>
                <w:b/>
                <w:bCs/>
              </w:rPr>
            </w:pPr>
            <w:r w:rsidRPr="00556429">
              <w:rPr>
                <w:b/>
                <w:bCs/>
              </w:rPr>
              <w:t>The Yard Charity / EDAN hub</w:t>
            </w:r>
          </w:p>
          <w:p w14:paraId="6088427C" w14:textId="77777777" w:rsidR="00CB0D22" w:rsidRDefault="00CB0D22" w:rsidP="004A5BDB">
            <w:pPr>
              <w:jc w:val="center"/>
            </w:pPr>
            <w:r>
              <w:t>The Yard Charity and EDAN hub are a partnership from Tailor Ed, Barnardo’s and Autism Initiatives, working together with oversight from NHS CAMHS colleagues to provide services to support the mental health and wellbeing of children and young people in Edinburgh who are neurodivergent.</w:t>
            </w:r>
          </w:p>
          <w:p w14:paraId="666B8788" w14:textId="77777777" w:rsidR="00CB0D22" w:rsidRDefault="00CB0D22" w:rsidP="004A5BDB"/>
          <w:p w14:paraId="463B493E" w14:textId="77777777" w:rsidR="00CB0D22" w:rsidRDefault="00CB0D22" w:rsidP="004A5BDB"/>
        </w:tc>
        <w:tc>
          <w:tcPr>
            <w:tcW w:w="4059" w:type="dxa"/>
          </w:tcPr>
          <w:p w14:paraId="6B75AB62" w14:textId="77777777" w:rsidR="00CB0D22" w:rsidRDefault="00CB0D22" w:rsidP="004A5BDB">
            <w:r w:rsidRPr="00556429">
              <w:rPr>
                <w:noProof/>
              </w:rPr>
              <w:drawing>
                <wp:anchor distT="0" distB="0" distL="114300" distR="114300" simplePos="0" relativeHeight="251659264" behindDoc="0" locked="0" layoutInCell="1" allowOverlap="1" wp14:anchorId="2C634F62" wp14:editId="78E92F7A">
                  <wp:simplePos x="0" y="0"/>
                  <wp:positionH relativeFrom="column">
                    <wp:posOffset>419716</wp:posOffset>
                  </wp:positionH>
                  <wp:positionV relativeFrom="paragraph">
                    <wp:posOffset>50819</wp:posOffset>
                  </wp:positionV>
                  <wp:extent cx="1566545" cy="156654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566545" cy="1566545"/>
                          </a:xfrm>
                          <a:prstGeom prst="rect">
                            <a:avLst/>
                          </a:prstGeom>
                        </pic:spPr>
                      </pic:pic>
                    </a:graphicData>
                  </a:graphic>
                  <wp14:sizeRelH relativeFrom="page">
                    <wp14:pctWidth>0</wp14:pctWidth>
                  </wp14:sizeRelH>
                  <wp14:sizeRelV relativeFrom="page">
                    <wp14:pctHeight>0</wp14:pctHeight>
                  </wp14:sizeRelV>
                </wp:anchor>
              </w:drawing>
            </w:r>
          </w:p>
        </w:tc>
      </w:tr>
      <w:tr w:rsidR="00CB0D22" w14:paraId="22CAEE74" w14:textId="77777777" w:rsidTr="004A5BDB">
        <w:tc>
          <w:tcPr>
            <w:tcW w:w="4957" w:type="dxa"/>
          </w:tcPr>
          <w:p w14:paraId="62105B04" w14:textId="77777777" w:rsidR="00CB0D22" w:rsidRDefault="00CB0D22" w:rsidP="004A5BDB"/>
          <w:p w14:paraId="288087C3" w14:textId="77777777" w:rsidR="00CB0D22" w:rsidRDefault="00CB0D22" w:rsidP="004A5BDB"/>
          <w:p w14:paraId="65E51F7A" w14:textId="77777777" w:rsidR="00CB0D22" w:rsidRDefault="00CB0D22" w:rsidP="004A5BDB"/>
          <w:p w14:paraId="21F56AC8" w14:textId="77777777" w:rsidR="00CB0D22" w:rsidRPr="00556429" w:rsidRDefault="00CB0D22" w:rsidP="004A5BDB">
            <w:pPr>
              <w:jc w:val="center"/>
              <w:rPr>
                <w:b/>
                <w:bCs/>
              </w:rPr>
            </w:pPr>
            <w:r w:rsidRPr="00556429">
              <w:rPr>
                <w:b/>
                <w:bCs/>
              </w:rPr>
              <w:t>EPIC Resources</w:t>
            </w:r>
          </w:p>
          <w:p w14:paraId="5F0E3DDE" w14:textId="77777777" w:rsidR="00CB0D22" w:rsidRDefault="00CB0D22" w:rsidP="004A5BDB">
            <w:pPr>
              <w:jc w:val="center"/>
            </w:pPr>
            <w:r>
              <w:t>Created by The University of Edinburgh, provides strategies for young people at school and at home.</w:t>
            </w:r>
          </w:p>
          <w:p w14:paraId="406844DE" w14:textId="77777777" w:rsidR="00CB0D22" w:rsidRDefault="00CB0D22" w:rsidP="004A5BDB"/>
          <w:p w14:paraId="7B26BC9B" w14:textId="77777777" w:rsidR="00CB0D22" w:rsidRDefault="00CB0D22" w:rsidP="004A5BDB"/>
          <w:p w14:paraId="181E7CD9" w14:textId="77777777" w:rsidR="00CB0D22" w:rsidRDefault="00CB0D22" w:rsidP="004A5BDB"/>
          <w:p w14:paraId="64A85218" w14:textId="77777777" w:rsidR="00CB0D22" w:rsidRDefault="00CB0D22" w:rsidP="004A5BDB"/>
          <w:p w14:paraId="28624494" w14:textId="77777777" w:rsidR="00CB0D22" w:rsidRDefault="00CB0D22" w:rsidP="004A5BDB"/>
        </w:tc>
        <w:tc>
          <w:tcPr>
            <w:tcW w:w="4059" w:type="dxa"/>
          </w:tcPr>
          <w:p w14:paraId="5CED9DC8" w14:textId="77777777" w:rsidR="00CB0D22" w:rsidRDefault="00CB0D22" w:rsidP="004A5BDB">
            <w:r w:rsidRPr="00556429">
              <w:rPr>
                <w:noProof/>
              </w:rPr>
              <w:drawing>
                <wp:anchor distT="0" distB="0" distL="114300" distR="114300" simplePos="0" relativeHeight="251660288" behindDoc="0" locked="0" layoutInCell="1" allowOverlap="1" wp14:anchorId="24CF4319" wp14:editId="3E4DDF96">
                  <wp:simplePos x="0" y="0"/>
                  <wp:positionH relativeFrom="column">
                    <wp:posOffset>428971</wp:posOffset>
                  </wp:positionH>
                  <wp:positionV relativeFrom="paragraph">
                    <wp:posOffset>104938</wp:posOffset>
                  </wp:positionV>
                  <wp:extent cx="1495425" cy="149542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495425" cy="1495425"/>
                          </a:xfrm>
                          <a:prstGeom prst="rect">
                            <a:avLst/>
                          </a:prstGeom>
                        </pic:spPr>
                      </pic:pic>
                    </a:graphicData>
                  </a:graphic>
                  <wp14:sizeRelH relativeFrom="page">
                    <wp14:pctWidth>0</wp14:pctWidth>
                  </wp14:sizeRelH>
                  <wp14:sizeRelV relativeFrom="page">
                    <wp14:pctHeight>0</wp14:pctHeight>
                  </wp14:sizeRelV>
                </wp:anchor>
              </w:drawing>
            </w:r>
          </w:p>
        </w:tc>
      </w:tr>
      <w:tr w:rsidR="00CB0D22" w14:paraId="626CFDF7" w14:textId="77777777" w:rsidTr="004A5BDB">
        <w:tc>
          <w:tcPr>
            <w:tcW w:w="4957" w:type="dxa"/>
          </w:tcPr>
          <w:p w14:paraId="5E2AA816" w14:textId="77777777" w:rsidR="00CB0D22" w:rsidRDefault="00CB0D22" w:rsidP="004A5BDB"/>
          <w:p w14:paraId="257F4CEE" w14:textId="77777777" w:rsidR="00CB0D22" w:rsidRDefault="00CB0D22" w:rsidP="004A5BDB"/>
          <w:p w14:paraId="1FB70062" w14:textId="77777777" w:rsidR="00CB0D22" w:rsidRPr="00556429" w:rsidRDefault="00CB0D22" w:rsidP="004A5BDB">
            <w:pPr>
              <w:jc w:val="center"/>
              <w:rPr>
                <w:b/>
                <w:bCs/>
              </w:rPr>
            </w:pPr>
            <w:r w:rsidRPr="00556429">
              <w:rPr>
                <w:b/>
                <w:bCs/>
              </w:rPr>
              <w:t>Tools and Strategies to Support Kids</w:t>
            </w:r>
          </w:p>
          <w:p w14:paraId="4A9672BD" w14:textId="77777777" w:rsidR="00CB0D22" w:rsidRDefault="00CB0D22" w:rsidP="004A5BDB">
            <w:pPr>
              <w:jc w:val="center"/>
            </w:pPr>
            <w:r>
              <w:t>TASSK is a pre-recorded online Occupational Therapy led workshop. The webinar aims to educate families and provide information, evidence informed and child centred approaches for children or young people who may struggle with some of the following: emotional regulation, attention, transitions, sensory difficulties, relationships, structure and routine.</w:t>
            </w:r>
          </w:p>
          <w:p w14:paraId="08BC8CE9" w14:textId="77777777" w:rsidR="00CB0D22" w:rsidRDefault="00CB0D22" w:rsidP="004A5BDB"/>
          <w:p w14:paraId="44768EBA" w14:textId="77777777" w:rsidR="00CB0D22" w:rsidRDefault="00CB0D22" w:rsidP="004A5BDB"/>
          <w:p w14:paraId="134E455F" w14:textId="77777777" w:rsidR="00CB0D22" w:rsidRDefault="00CB0D22" w:rsidP="004A5BDB"/>
        </w:tc>
        <w:tc>
          <w:tcPr>
            <w:tcW w:w="4059" w:type="dxa"/>
          </w:tcPr>
          <w:p w14:paraId="3CC81226" w14:textId="77777777" w:rsidR="00CB0D22" w:rsidRDefault="00CB0D22" w:rsidP="004A5BDB">
            <w:r w:rsidRPr="00556429">
              <w:rPr>
                <w:noProof/>
              </w:rPr>
              <w:drawing>
                <wp:anchor distT="0" distB="0" distL="114300" distR="114300" simplePos="0" relativeHeight="251661312" behindDoc="0" locked="0" layoutInCell="1" allowOverlap="1" wp14:anchorId="4C875E99" wp14:editId="0044FD03">
                  <wp:simplePos x="0" y="0"/>
                  <wp:positionH relativeFrom="column">
                    <wp:posOffset>392430</wp:posOffset>
                  </wp:positionH>
                  <wp:positionV relativeFrom="paragraph">
                    <wp:posOffset>268171</wp:posOffset>
                  </wp:positionV>
                  <wp:extent cx="1565910" cy="156591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565910" cy="1565910"/>
                          </a:xfrm>
                          <a:prstGeom prst="rect">
                            <a:avLst/>
                          </a:prstGeom>
                        </pic:spPr>
                      </pic:pic>
                    </a:graphicData>
                  </a:graphic>
                  <wp14:sizeRelH relativeFrom="page">
                    <wp14:pctWidth>0</wp14:pctWidth>
                  </wp14:sizeRelH>
                  <wp14:sizeRelV relativeFrom="page">
                    <wp14:pctHeight>0</wp14:pctHeight>
                  </wp14:sizeRelV>
                </wp:anchor>
              </w:drawing>
            </w:r>
          </w:p>
        </w:tc>
      </w:tr>
      <w:tr w:rsidR="00CB0D22" w14:paraId="50E64148" w14:textId="77777777" w:rsidTr="004A5BDB">
        <w:tc>
          <w:tcPr>
            <w:tcW w:w="4957" w:type="dxa"/>
          </w:tcPr>
          <w:p w14:paraId="0A57D57C" w14:textId="77777777" w:rsidR="00CB0D22" w:rsidRDefault="00CB0D22" w:rsidP="004A5BDB">
            <w:pPr>
              <w:spacing w:after="160" w:line="259" w:lineRule="auto"/>
            </w:pPr>
          </w:p>
          <w:p w14:paraId="66A5A6F9" w14:textId="77777777" w:rsidR="00CB0D22" w:rsidRDefault="00CB0D22" w:rsidP="004A5BDB">
            <w:pPr>
              <w:spacing w:after="160" w:line="259" w:lineRule="auto"/>
            </w:pPr>
          </w:p>
          <w:p w14:paraId="7C038FBF" w14:textId="77777777" w:rsidR="00CB0D22" w:rsidRDefault="00CB0D22" w:rsidP="004A5BDB">
            <w:pPr>
              <w:spacing w:line="259" w:lineRule="auto"/>
              <w:jc w:val="center"/>
              <w:rPr>
                <w:b/>
                <w:bCs/>
              </w:rPr>
            </w:pPr>
            <w:r w:rsidRPr="00A608F0">
              <w:rPr>
                <w:b/>
                <w:bCs/>
              </w:rPr>
              <w:t>Regulated and Ready to Learn</w:t>
            </w:r>
          </w:p>
          <w:p w14:paraId="2FAE84CE" w14:textId="77777777" w:rsidR="00CB0D22" w:rsidRDefault="00CB0D22" w:rsidP="004A5BDB">
            <w:pPr>
              <w:spacing w:after="160" w:line="259" w:lineRule="auto"/>
              <w:jc w:val="center"/>
            </w:pPr>
            <w:r>
              <w:t>NHS Fife CAMHS has developed a helpful resource for parents and teachers which includes information and strategies on supporting a child with recognising and regulating their emotions.</w:t>
            </w:r>
          </w:p>
          <w:p w14:paraId="55299466" w14:textId="77777777" w:rsidR="00CB0D22" w:rsidRDefault="00CB0D22" w:rsidP="004A5BDB">
            <w:pPr>
              <w:spacing w:after="160" w:line="259" w:lineRule="auto"/>
              <w:jc w:val="center"/>
            </w:pPr>
          </w:p>
          <w:p w14:paraId="372EE46C" w14:textId="77777777" w:rsidR="00CB0D22" w:rsidRPr="00A608F0" w:rsidRDefault="00CB0D22" w:rsidP="004A5BDB">
            <w:pPr>
              <w:spacing w:after="160" w:line="259" w:lineRule="auto"/>
              <w:rPr>
                <w:b/>
                <w:bCs/>
              </w:rPr>
            </w:pPr>
          </w:p>
        </w:tc>
        <w:tc>
          <w:tcPr>
            <w:tcW w:w="4059" w:type="dxa"/>
          </w:tcPr>
          <w:p w14:paraId="1CFDD522" w14:textId="77777777" w:rsidR="00CB0D22" w:rsidRDefault="00CB0D22" w:rsidP="004A5BDB">
            <w:r w:rsidRPr="00A608F0">
              <w:rPr>
                <w:noProof/>
              </w:rPr>
              <w:drawing>
                <wp:anchor distT="0" distB="0" distL="114300" distR="114300" simplePos="0" relativeHeight="251662336" behindDoc="0" locked="0" layoutInCell="1" allowOverlap="1" wp14:anchorId="71AAFF01" wp14:editId="4805BBEE">
                  <wp:simplePos x="0" y="0"/>
                  <wp:positionH relativeFrom="column">
                    <wp:posOffset>355763</wp:posOffset>
                  </wp:positionH>
                  <wp:positionV relativeFrom="paragraph">
                    <wp:posOffset>227531</wp:posOffset>
                  </wp:positionV>
                  <wp:extent cx="1674495" cy="1674495"/>
                  <wp:effectExtent l="0" t="0" r="1905" b="190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674495" cy="1674495"/>
                          </a:xfrm>
                          <a:prstGeom prst="rect">
                            <a:avLst/>
                          </a:prstGeom>
                        </pic:spPr>
                      </pic:pic>
                    </a:graphicData>
                  </a:graphic>
                  <wp14:sizeRelH relativeFrom="page">
                    <wp14:pctWidth>0</wp14:pctWidth>
                  </wp14:sizeRelH>
                  <wp14:sizeRelV relativeFrom="page">
                    <wp14:pctHeight>0</wp14:pctHeight>
                  </wp14:sizeRelV>
                </wp:anchor>
              </w:drawing>
            </w:r>
          </w:p>
        </w:tc>
      </w:tr>
    </w:tbl>
    <w:p w14:paraId="2F6E20BC" w14:textId="77777777" w:rsidR="001F4963" w:rsidRDefault="001F4963"/>
    <w:sectPr w:rsidR="001F49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D22"/>
    <w:rsid w:val="001F4963"/>
    <w:rsid w:val="00790B88"/>
    <w:rsid w:val="00B96204"/>
    <w:rsid w:val="00BD2767"/>
    <w:rsid w:val="00CB0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80740"/>
  <w15:chartTrackingRefBased/>
  <w15:docId w15:val="{4071A9F8-4162-40BC-AB0A-4F62E875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D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0D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ustomXml" Target="../customXml/item2.xml"/><Relationship Id="rId5" Type="http://schemas.openxmlformats.org/officeDocument/2006/relationships/image" Target="media/image2.png"/><Relationship Id="rId10"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62E2B85FB0544EACE2481D09D169B5" ma:contentTypeVersion="13" ma:contentTypeDescription="Create a new document." ma:contentTypeScope="" ma:versionID="26cb160b06d89814f5df43c25460f8da">
  <xsd:schema xmlns:xsd="http://www.w3.org/2001/XMLSchema" xmlns:xs="http://www.w3.org/2001/XMLSchema" xmlns:p="http://schemas.microsoft.com/office/2006/metadata/properties" xmlns:ns2="421bc674-4713-456e-a73a-c3d632c9fc55" xmlns:ns3="9df732ee-2e4b-49fa-a8bf-7b9b9676a819" targetNamespace="http://schemas.microsoft.com/office/2006/metadata/properties" ma:root="true" ma:fieldsID="65fda5af9a2c2bdf75c1bb10496c1e08" ns2:_="" ns3:_="">
    <xsd:import namespace="421bc674-4713-456e-a73a-c3d632c9fc55"/>
    <xsd:import namespace="9df732ee-2e4b-49fa-a8bf-7b9b9676a8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bc674-4713-456e-a73a-c3d632c9fc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32ee-2e4b-49fa-a8bf-7b9b9676a81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f82a0a9-63d8-467a-bd83-ddd8ead28b28}" ma:internalName="TaxCatchAll" ma:showField="CatchAllData" ma:web="9df732ee-2e4b-49fa-a8bf-7b9b9676a8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1bc674-4713-456e-a73a-c3d632c9fc55">
      <Terms xmlns="http://schemas.microsoft.com/office/infopath/2007/PartnerControls"/>
    </lcf76f155ced4ddcb4097134ff3c332f>
    <TaxCatchAll xmlns="9df732ee-2e4b-49fa-a8bf-7b9b9676a819" xsi:nil="true"/>
  </documentManagement>
</p:properties>
</file>

<file path=customXml/itemProps1.xml><?xml version="1.0" encoding="utf-8"?>
<ds:datastoreItem xmlns:ds="http://schemas.openxmlformats.org/officeDocument/2006/customXml" ds:itemID="{92E9EC32-71E3-4830-A568-72408F52A4D0}"/>
</file>

<file path=customXml/itemProps2.xml><?xml version="1.0" encoding="utf-8"?>
<ds:datastoreItem xmlns:ds="http://schemas.openxmlformats.org/officeDocument/2006/customXml" ds:itemID="{01B1C5F8-2D56-42DB-A9A2-A6A34C280E73}"/>
</file>

<file path=customXml/itemProps3.xml><?xml version="1.0" encoding="utf-8"?>
<ds:datastoreItem xmlns:ds="http://schemas.openxmlformats.org/officeDocument/2006/customXml" ds:itemID="{AB97CC14-2B74-4DDA-98FB-4959621BB449}"/>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McCaw, Lisa</dc:creator>
  <cp:keywords/>
  <dc:description/>
  <cp:lastModifiedBy>McCaw, Lisa</cp:lastModifiedBy>
  <cp:revision>1</cp:revision>
  <dcterms:created xsi:type="dcterms:W3CDTF">2024-12-20T16:31:00Z</dcterms:created>
  <dcterms:modified xsi:type="dcterms:W3CDTF">2024-12-20T16:31:00Z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0x0101007862E2B85FB0544EACE2481D09D169B5</vt:lpwstr>
  </property>
</Properties>
</file>